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BD" w:rsidRPr="008A35EC" w:rsidRDefault="00275DC7" w:rsidP="00104CBD">
      <w:pPr>
        <w:pStyle w:val="a9"/>
        <w:pageBreakBefore/>
        <w:ind w:right="-108"/>
        <w:jc w:val="right"/>
        <w:rPr>
          <w:rFonts w:ascii="MetaNormalCyrLF-Roman" w:hAnsi="MetaNormalCyrLF-Roman" w:cs="Arial"/>
          <w:sz w:val="17"/>
        </w:rPr>
      </w:pPr>
      <w:r>
        <w:rPr>
          <w:rFonts w:ascii="MetaNormalCyrLF-Roman" w:hAnsi="MetaNormalCyrLF-Roman" w:cs="Arial"/>
          <w:sz w:val="17"/>
        </w:rPr>
        <w:t>Приложение № 4</w:t>
      </w:r>
      <w:r w:rsidR="00E45C8A">
        <w:rPr>
          <w:rFonts w:ascii="MetaNormalCyrLF-Roman" w:hAnsi="MetaNormalCyrLF-Roman" w:cs="Arial"/>
          <w:sz w:val="17"/>
        </w:rPr>
        <w:t>2</w:t>
      </w:r>
    </w:p>
    <w:p w:rsidR="00104CBD" w:rsidRDefault="00104CBD" w:rsidP="00CF62E4">
      <w:pPr>
        <w:jc w:val="right"/>
      </w:pPr>
    </w:p>
    <w:p w:rsidR="00104CBD" w:rsidRDefault="00104CBD" w:rsidP="00CF62E4">
      <w:pPr>
        <w:jc w:val="right"/>
      </w:pPr>
    </w:p>
    <w:p w:rsidR="00104CBD" w:rsidRDefault="00104CBD" w:rsidP="00CF62E4">
      <w:pPr>
        <w:jc w:val="right"/>
      </w:pPr>
    </w:p>
    <w:p w:rsidR="004B5C9F" w:rsidRDefault="00CF62E4" w:rsidP="00CF62E4">
      <w:pPr>
        <w:jc w:val="right"/>
      </w:pPr>
      <w:r>
        <w:t>Утвержден</w:t>
      </w:r>
      <w:r w:rsidR="003119E1">
        <w:t>о</w:t>
      </w:r>
      <w:r>
        <w:t xml:space="preserve"> приказом </w:t>
      </w:r>
    </w:p>
    <w:p w:rsidR="004B5C9F" w:rsidRDefault="004B5C9F" w:rsidP="00CF62E4">
      <w:pPr>
        <w:jc w:val="right"/>
      </w:pPr>
      <w:r>
        <w:t>АО ВТБ Специализированный депозитарий</w:t>
      </w:r>
    </w:p>
    <w:p w:rsidR="00127C11" w:rsidRDefault="002437DF" w:rsidP="00CF62E4">
      <w:pPr>
        <w:jc w:val="right"/>
      </w:pPr>
      <w:r>
        <w:t>о</w:t>
      </w:r>
      <w:r w:rsidR="00CF62E4">
        <w:t>т</w:t>
      </w:r>
      <w:r>
        <w:t xml:space="preserve"> </w:t>
      </w:r>
      <w:r w:rsidR="00B21C1D">
        <w:t>27.03.2025</w:t>
      </w:r>
      <w:r w:rsidR="00CF62E4">
        <w:t xml:space="preserve"> № </w:t>
      </w:r>
      <w:r w:rsidR="00B21C1D">
        <w:t>35</w:t>
      </w:r>
    </w:p>
    <w:p w:rsidR="00CF62E4" w:rsidRDefault="00CF62E4"/>
    <w:p w:rsidR="00CF62E4" w:rsidRDefault="00CF62E4"/>
    <w:p w:rsidR="00CF62E4" w:rsidRDefault="00CF62E4"/>
    <w:p w:rsidR="00CF62E4" w:rsidRDefault="00CF62E4"/>
    <w:p w:rsidR="00CF62E4" w:rsidRDefault="00CF62E4" w:rsidP="00CF62E4">
      <w:pPr>
        <w:jc w:val="center"/>
        <w:rPr>
          <w:rFonts w:ascii="MetaNormalCyrLF-Roman" w:hAnsi="MetaNormalCyrLF-Roman" w:cs="Arial"/>
          <w:b/>
          <w:caps/>
          <w:sz w:val="24"/>
          <w:szCs w:val="24"/>
        </w:rPr>
      </w:pPr>
      <w:r w:rsidRPr="008A35EC">
        <w:rPr>
          <w:rFonts w:ascii="MetaNormalCyrLF-Roman" w:hAnsi="MetaNormalCyrLF-Roman" w:cs="Arial"/>
          <w:b/>
          <w:caps/>
          <w:sz w:val="24"/>
          <w:szCs w:val="24"/>
        </w:rPr>
        <w:t>ПРЕЙСКУРАНТ</w:t>
      </w:r>
      <w:r>
        <w:rPr>
          <w:rFonts w:ascii="MetaNormalCyrLF-Roman" w:hAnsi="MetaNormalCyrLF-Roman" w:cs="Arial"/>
          <w:b/>
          <w:caps/>
          <w:sz w:val="24"/>
          <w:szCs w:val="24"/>
        </w:rPr>
        <w:t xml:space="preserve"> </w:t>
      </w:r>
      <w:r w:rsidRPr="008A35EC">
        <w:rPr>
          <w:rFonts w:ascii="MetaNormalCyrLF-Roman" w:hAnsi="MetaNormalCyrLF-Roman" w:cs="Arial"/>
          <w:b/>
          <w:caps/>
          <w:sz w:val="24"/>
          <w:szCs w:val="24"/>
        </w:rPr>
        <w:t xml:space="preserve">услуг </w:t>
      </w:r>
    </w:p>
    <w:p w:rsidR="00CF62E4" w:rsidRDefault="00CF62E4" w:rsidP="00CF62E4">
      <w:pPr>
        <w:jc w:val="center"/>
        <w:rPr>
          <w:rFonts w:ascii="MetaNormalCyrLF-Roman" w:hAnsi="MetaNormalCyrLF-Roman" w:cs="Arial"/>
          <w:b/>
          <w:caps/>
          <w:sz w:val="24"/>
          <w:szCs w:val="24"/>
        </w:rPr>
      </w:pPr>
      <w:r>
        <w:rPr>
          <w:rFonts w:ascii="MetaNormalCyrLF-Roman" w:hAnsi="MetaNormalCyrLF-Roman" w:cs="Arial"/>
          <w:b/>
          <w:caps/>
          <w:sz w:val="24"/>
          <w:szCs w:val="24"/>
        </w:rPr>
        <w:t>АО ВТБ Специализированный депозитарий</w:t>
      </w:r>
    </w:p>
    <w:p w:rsidR="00CF62E4" w:rsidRPr="008A35EC" w:rsidRDefault="00CF62E4" w:rsidP="00CF62E4">
      <w:pPr>
        <w:jc w:val="center"/>
        <w:rPr>
          <w:rFonts w:ascii="MetaNormalCyrLF-Roman" w:hAnsi="MetaNormalCyrLF-Roman" w:cs="Arial"/>
          <w:b/>
          <w:caps/>
          <w:sz w:val="24"/>
          <w:szCs w:val="24"/>
        </w:rPr>
      </w:pPr>
      <w:r w:rsidRPr="008A35EC">
        <w:rPr>
          <w:rFonts w:ascii="MetaNormalCyrLF-Roman" w:hAnsi="MetaNormalCyrLF-Roman" w:cs="Arial"/>
          <w:b/>
          <w:caps/>
          <w:sz w:val="24"/>
          <w:szCs w:val="24"/>
        </w:rPr>
        <w:t xml:space="preserve"> по проведению операций в реестре</w:t>
      </w:r>
    </w:p>
    <w:p w:rsidR="00B21C1D" w:rsidRDefault="00CF62E4" w:rsidP="00CF62E4">
      <w:pPr>
        <w:jc w:val="center"/>
        <w:rPr>
          <w:rFonts w:ascii="MetaNormalCyrLF-Roman" w:hAnsi="MetaNormalCyrLF-Roman" w:cs="Arial"/>
          <w:b/>
          <w:caps/>
          <w:sz w:val="24"/>
          <w:szCs w:val="24"/>
        </w:rPr>
      </w:pPr>
      <w:r w:rsidRPr="008A35EC">
        <w:rPr>
          <w:rFonts w:ascii="MetaNormalCyrLF-Roman" w:hAnsi="MetaNormalCyrLF-Roman" w:cs="Arial"/>
          <w:b/>
          <w:caps/>
          <w:sz w:val="24"/>
          <w:szCs w:val="24"/>
        </w:rPr>
        <w:t>владель</w:t>
      </w:r>
      <w:r w:rsidR="00B21C1D">
        <w:rPr>
          <w:rFonts w:ascii="MetaNormalCyrLF-Roman" w:hAnsi="MetaNormalCyrLF-Roman" w:cs="Arial"/>
          <w:b/>
          <w:caps/>
          <w:sz w:val="24"/>
          <w:szCs w:val="24"/>
        </w:rPr>
        <w:t>цев инвестиционных паев паевого</w:t>
      </w:r>
    </w:p>
    <w:p w:rsidR="00CF62E4" w:rsidRPr="008A35EC" w:rsidRDefault="00CF62E4" w:rsidP="00CF62E4">
      <w:pPr>
        <w:jc w:val="center"/>
        <w:rPr>
          <w:rFonts w:ascii="MetaNormalCyrLF-Roman" w:hAnsi="MetaNormalCyrLF-Roman" w:cs="Arial"/>
          <w:b/>
          <w:caps/>
          <w:sz w:val="24"/>
          <w:szCs w:val="24"/>
        </w:rPr>
      </w:pPr>
      <w:bookmarkStart w:id="0" w:name="_GoBack"/>
      <w:bookmarkEnd w:id="0"/>
      <w:r w:rsidRPr="008A35EC">
        <w:rPr>
          <w:rFonts w:ascii="MetaNormalCyrLF-Roman" w:hAnsi="MetaNormalCyrLF-Roman" w:cs="Arial"/>
          <w:b/>
          <w:caps/>
          <w:sz w:val="24"/>
          <w:szCs w:val="24"/>
        </w:rPr>
        <w:t>инвестиционного фонда</w:t>
      </w:r>
    </w:p>
    <w:p w:rsidR="00CF62E4" w:rsidRPr="008A35EC" w:rsidRDefault="00CF62E4" w:rsidP="00CF62E4">
      <w:pPr>
        <w:jc w:val="center"/>
        <w:rPr>
          <w:rFonts w:cs="Arial"/>
          <w:sz w:val="24"/>
          <w:szCs w:val="24"/>
        </w:rPr>
      </w:pPr>
    </w:p>
    <w:tbl>
      <w:tblPr>
        <w:tblStyle w:val="a5"/>
        <w:tblW w:w="9673" w:type="dxa"/>
        <w:tblLook w:val="01E0" w:firstRow="1" w:lastRow="1" w:firstColumn="1" w:lastColumn="1" w:noHBand="0" w:noVBand="0"/>
      </w:tblPr>
      <w:tblGrid>
        <w:gridCol w:w="534"/>
        <w:gridCol w:w="6898"/>
        <w:gridCol w:w="2241"/>
      </w:tblGrid>
      <w:tr w:rsidR="00CF62E4" w:rsidRPr="008A35EC" w:rsidTr="00E4499A">
        <w:tc>
          <w:tcPr>
            <w:tcW w:w="534" w:type="dxa"/>
            <w:hideMark/>
          </w:tcPr>
          <w:p w:rsidR="00CF62E4" w:rsidRPr="008A35EC" w:rsidRDefault="00CF62E4" w:rsidP="00E4499A">
            <w:pPr>
              <w:spacing w:before="60"/>
              <w:jc w:val="center"/>
              <w:rPr>
                <w:rFonts w:ascii="MetaNormalCyrLF-Roman" w:hAnsi="MetaNormalCyrLF-Roman" w:cs="Arial"/>
                <w:b/>
                <w:bCs/>
                <w:sz w:val="18"/>
              </w:rPr>
            </w:pPr>
            <w:r w:rsidRPr="008A35EC">
              <w:rPr>
                <w:rFonts w:ascii="MetaNormalCyrLF-Roman" w:hAnsi="MetaNormalCyrLF-Roman" w:cs="Arial"/>
                <w:b/>
                <w:bCs/>
                <w:sz w:val="18"/>
              </w:rPr>
              <w:t>№ п/п</w:t>
            </w:r>
          </w:p>
        </w:tc>
        <w:tc>
          <w:tcPr>
            <w:tcW w:w="6898" w:type="dxa"/>
            <w:hideMark/>
          </w:tcPr>
          <w:p w:rsidR="00CF62E4" w:rsidRPr="008A35EC" w:rsidRDefault="00CF62E4" w:rsidP="00E4499A">
            <w:pPr>
              <w:spacing w:before="60"/>
              <w:jc w:val="center"/>
              <w:rPr>
                <w:rFonts w:ascii="MetaNormalCyrLF-Roman" w:hAnsi="MetaNormalCyrLF-Roman" w:cs="Arial"/>
                <w:b/>
                <w:bCs/>
                <w:sz w:val="18"/>
              </w:rPr>
            </w:pPr>
            <w:r w:rsidRPr="008A35EC">
              <w:rPr>
                <w:rFonts w:ascii="MetaNormalCyrLF-Roman" w:hAnsi="MetaNormalCyrLF-Roman" w:cs="Arial"/>
                <w:b/>
                <w:bCs/>
                <w:sz w:val="18"/>
              </w:rPr>
              <w:t>Наименование услуги</w:t>
            </w:r>
          </w:p>
        </w:tc>
        <w:tc>
          <w:tcPr>
            <w:tcW w:w="2241" w:type="dxa"/>
            <w:hideMark/>
          </w:tcPr>
          <w:p w:rsidR="00CF62E4" w:rsidRPr="008A35EC" w:rsidRDefault="00CF62E4" w:rsidP="00E4499A">
            <w:pPr>
              <w:spacing w:before="60"/>
              <w:jc w:val="center"/>
              <w:rPr>
                <w:rFonts w:ascii="MetaNormalCyrLF-Roman" w:hAnsi="MetaNormalCyrLF-Roman" w:cs="Arial"/>
                <w:b/>
                <w:bCs/>
                <w:sz w:val="18"/>
              </w:rPr>
            </w:pPr>
            <w:r w:rsidRPr="008A35EC">
              <w:rPr>
                <w:rFonts w:ascii="MetaNormalCyrLF-Roman" w:hAnsi="MetaNormalCyrLF-Roman" w:cs="Arial"/>
                <w:b/>
                <w:bCs/>
                <w:sz w:val="18"/>
              </w:rPr>
              <w:t>Стоимость</w:t>
            </w:r>
          </w:p>
          <w:p w:rsidR="00CF62E4" w:rsidRPr="008A35EC" w:rsidRDefault="00CF62E4" w:rsidP="00E4499A">
            <w:pPr>
              <w:jc w:val="center"/>
              <w:rPr>
                <w:rFonts w:ascii="MetaNormalCyrLF-Roman" w:hAnsi="MetaNormalCyrLF-Roman" w:cs="Arial"/>
                <w:b/>
                <w:bCs/>
                <w:sz w:val="18"/>
              </w:rPr>
            </w:pPr>
            <w:r w:rsidRPr="008A35EC">
              <w:rPr>
                <w:rFonts w:ascii="MetaNormalCyrLF-Roman" w:hAnsi="MetaNormalCyrLF-Roman" w:cs="Arial"/>
                <w:b/>
                <w:bCs/>
                <w:sz w:val="18"/>
              </w:rPr>
              <w:t>(руб.)</w:t>
            </w:r>
          </w:p>
        </w:tc>
      </w:tr>
      <w:tr w:rsidR="00CF62E4" w:rsidRPr="008A35EC" w:rsidTr="00E4499A">
        <w:trPr>
          <w:trHeight w:val="568"/>
        </w:trPr>
        <w:tc>
          <w:tcPr>
            <w:tcW w:w="534" w:type="dxa"/>
            <w:tcBorders>
              <w:bottom w:val="nil"/>
            </w:tcBorders>
          </w:tcPr>
          <w:p w:rsidR="00CF62E4" w:rsidRPr="008A35EC" w:rsidRDefault="00CF62E4" w:rsidP="00CF62E4">
            <w:pPr>
              <w:pStyle w:val="a3"/>
              <w:numPr>
                <w:ilvl w:val="0"/>
                <w:numId w:val="1"/>
              </w:numPr>
              <w:tabs>
                <w:tab w:val="center" w:pos="159"/>
              </w:tabs>
              <w:spacing w:before="60" w:after="60"/>
              <w:ind w:lef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6898" w:type="dxa"/>
            <w:tcBorders>
              <w:bottom w:val="nil"/>
            </w:tcBorders>
            <w:hideMark/>
          </w:tcPr>
          <w:p w:rsidR="00CF62E4" w:rsidRPr="004A4CDF" w:rsidRDefault="00CF62E4" w:rsidP="004A4CDF">
            <w:pPr>
              <w:pStyle w:val="a3"/>
              <w:spacing w:before="60"/>
              <w:rPr>
                <w:rFonts w:ascii="MetaNormalCyrLF-Roman" w:hAnsi="MetaNormalCyrLF-Roman" w:cs="Arial"/>
                <w:color w:val="auto"/>
                <w:sz w:val="18"/>
                <w:szCs w:val="18"/>
              </w:rPr>
            </w:pPr>
            <w:r w:rsidRPr="004A4CDF">
              <w:rPr>
                <w:rFonts w:ascii="MetaNormalCyrLF-Roman" w:hAnsi="MetaNormalCyrLF-Roman" w:cs="Arial"/>
                <w:color w:val="000000" w:themeColor="text1"/>
                <w:sz w:val="18"/>
                <w:szCs w:val="18"/>
              </w:rPr>
              <w:t>Внесение записей о</w:t>
            </w:r>
            <w:r w:rsidR="003119E1" w:rsidRPr="004A4CDF">
              <w:rPr>
                <w:rFonts w:ascii="MetaNormalCyrLF-Roman" w:hAnsi="MetaNormalCyrLF-Roman" w:cs="Arial"/>
                <w:color w:val="000000" w:themeColor="text1"/>
                <w:sz w:val="18"/>
                <w:szCs w:val="18"/>
              </w:rPr>
              <w:t xml:space="preserve"> </w:t>
            </w:r>
            <w:r w:rsidR="003119E1" w:rsidRPr="004A4CDF">
              <w:rPr>
                <w:rStyle w:val="HTML"/>
                <w:rFonts w:ascii="MetaNormalCyrLF-Roman" w:hAnsi="MetaNormalCyrLF-Roman" w:cs="Arial"/>
                <w:color w:val="000000" w:themeColor="text1"/>
                <w:sz w:val="18"/>
                <w:szCs w:val="18"/>
              </w:rPr>
              <w:t>фиксации обременения инвестиционных паев залогом</w:t>
            </w:r>
            <w:r w:rsidR="003119E1" w:rsidRPr="004A4CDF" w:rsidDel="003119E1">
              <w:rPr>
                <w:rFonts w:ascii="MetaNormalCyrLF-Roman" w:hAnsi="MetaNormalCyrLF-Roman" w:cs="Arial"/>
                <w:color w:val="000000" w:themeColor="text1"/>
                <w:sz w:val="18"/>
                <w:szCs w:val="18"/>
              </w:rPr>
              <w:t xml:space="preserve"> </w:t>
            </w:r>
            <w:r w:rsidRPr="004A4CDF">
              <w:rPr>
                <w:rFonts w:ascii="MetaNormalCyrLF-Roman" w:hAnsi="MetaNormalCyrLF-Roman" w:cs="Arial"/>
                <w:color w:val="000000" w:themeColor="text1"/>
                <w:sz w:val="18"/>
                <w:szCs w:val="18"/>
              </w:rPr>
              <w:t>(о прекращении обременения</w:t>
            </w:r>
            <w:r w:rsidR="003119E1">
              <w:rPr>
                <w:rFonts w:ascii="MetaNormalCyrLF-Roman" w:hAnsi="MetaNormalCyrLF-Roman" w:cs="Arial"/>
                <w:color w:val="000000" w:themeColor="text1"/>
                <w:sz w:val="18"/>
                <w:szCs w:val="18"/>
              </w:rPr>
              <w:t xml:space="preserve"> </w:t>
            </w:r>
            <w:r w:rsidR="003119E1" w:rsidRPr="004A4CDF">
              <w:rPr>
                <w:rStyle w:val="HTML"/>
                <w:rFonts w:ascii="MetaNormalCyrLF-Roman" w:hAnsi="MetaNormalCyrLF-Roman" w:cs="Arial"/>
                <w:color w:val="000000" w:themeColor="text1"/>
                <w:sz w:val="18"/>
                <w:szCs w:val="18"/>
              </w:rPr>
              <w:t>инвестиционных паев залогом</w:t>
            </w:r>
            <w:r w:rsidR="004A4CDF">
              <w:rPr>
                <w:rFonts w:ascii="MetaNormalCyrLF-Roman" w:hAnsi="MetaNormalCyrLF-Roman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41" w:type="dxa"/>
            <w:tcBorders>
              <w:bottom w:val="nil"/>
            </w:tcBorders>
          </w:tcPr>
          <w:p w:rsidR="004A4CDF" w:rsidRDefault="004A4CDF" w:rsidP="00E4499A">
            <w:pPr>
              <w:pStyle w:val="a3"/>
              <w:jc w:val="center"/>
              <w:rPr>
                <w:rFonts w:ascii="MetaNormalCyrLF-Roman" w:hAnsi="MetaNormalCyrLF-Roman" w:cs="Arial"/>
                <w:color w:val="auto"/>
                <w:sz w:val="18"/>
              </w:rPr>
            </w:pPr>
          </w:p>
          <w:p w:rsidR="00CF62E4" w:rsidRPr="008A35EC" w:rsidRDefault="004A4CDF" w:rsidP="00E4499A">
            <w:pPr>
              <w:pStyle w:val="a3"/>
              <w:jc w:val="center"/>
              <w:rPr>
                <w:rFonts w:ascii="MetaNormalCyrLF-Roman" w:hAnsi="MetaNormalCyrLF-Roman" w:cs="Arial"/>
                <w:color w:val="auto"/>
                <w:sz w:val="18"/>
              </w:rPr>
            </w:pPr>
            <w:r>
              <w:rPr>
                <w:rFonts w:ascii="MetaNormalCyrLF-Roman" w:hAnsi="MetaNormalCyrLF-Roman" w:cs="Arial"/>
                <w:color w:val="auto"/>
                <w:sz w:val="18"/>
              </w:rPr>
              <w:t>3 0</w:t>
            </w:r>
            <w:r w:rsidRPr="008A35EC">
              <w:rPr>
                <w:rFonts w:ascii="MetaNormalCyrLF-Roman" w:hAnsi="MetaNormalCyrLF-Roman" w:cs="Arial"/>
                <w:color w:val="auto"/>
                <w:sz w:val="18"/>
              </w:rPr>
              <w:t>00.00</w:t>
            </w:r>
          </w:p>
        </w:tc>
      </w:tr>
      <w:tr w:rsidR="00CF62E4" w:rsidRPr="008A35EC" w:rsidTr="00E4499A">
        <w:tc>
          <w:tcPr>
            <w:tcW w:w="534" w:type="dxa"/>
          </w:tcPr>
          <w:p w:rsidR="00CF62E4" w:rsidRPr="008A35EC" w:rsidRDefault="00CF62E4" w:rsidP="00CF62E4">
            <w:pPr>
              <w:pStyle w:val="a3"/>
              <w:numPr>
                <w:ilvl w:val="0"/>
                <w:numId w:val="1"/>
              </w:numPr>
              <w:tabs>
                <w:tab w:val="center" w:pos="159"/>
              </w:tabs>
              <w:spacing w:before="60" w:after="60"/>
              <w:ind w:lef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6898" w:type="dxa"/>
            <w:hideMark/>
          </w:tcPr>
          <w:p w:rsidR="00CF62E4" w:rsidRPr="008A35EC" w:rsidRDefault="00CF62E4" w:rsidP="004A4CDF">
            <w:pPr>
              <w:pStyle w:val="a3"/>
              <w:spacing w:before="60" w:after="60"/>
              <w:rPr>
                <w:rFonts w:ascii="MetaNormalCyrLF-Roman" w:hAnsi="MetaNormalCyrLF-Roman" w:cs="Arial"/>
                <w:color w:val="auto"/>
                <w:sz w:val="18"/>
              </w:rPr>
            </w:pPr>
            <w:r w:rsidRPr="008A35EC">
              <w:rPr>
                <w:rFonts w:ascii="MetaNormalCyrLF-Roman" w:hAnsi="MetaNormalCyrLF-Roman" w:cs="Arial"/>
                <w:color w:val="auto"/>
                <w:sz w:val="18"/>
              </w:rPr>
              <w:t xml:space="preserve">Внесение записей при передаче инвестиционных паев зарегистрированными лицами: за каждое передаточное распоряжение </w:t>
            </w:r>
            <w:r w:rsidR="003119E1">
              <w:rPr>
                <w:rFonts w:ascii="MetaNormalCyrLF-Roman" w:hAnsi="MetaNormalCyrLF-Roman" w:cs="Arial"/>
                <w:color w:val="auto"/>
                <w:sz w:val="18"/>
              </w:rPr>
              <w:t xml:space="preserve">и/или распоряжение </w:t>
            </w:r>
            <w:r w:rsidRPr="008A35EC">
              <w:rPr>
                <w:rFonts w:ascii="MetaNormalCyrLF-Roman" w:hAnsi="MetaNormalCyrLF-Roman" w:cs="Arial"/>
                <w:color w:val="auto"/>
                <w:sz w:val="18"/>
              </w:rPr>
              <w:t>о передаче инвестиционных паев</w:t>
            </w:r>
            <w:r w:rsidR="003119E1">
              <w:rPr>
                <w:rFonts w:ascii="MetaNormalCyrLF-Roman" w:hAnsi="MetaNormalCyrLF-Roman" w:cs="Arial"/>
                <w:color w:val="auto"/>
                <w:sz w:val="18"/>
              </w:rPr>
              <w:t xml:space="preserve"> (прав на инвестиционные паи)</w:t>
            </w:r>
            <w:r w:rsidRPr="008A35EC">
              <w:rPr>
                <w:rFonts w:ascii="MetaNormalCyrLF-Roman" w:hAnsi="MetaNormalCyrLF-Roman" w:cs="Arial"/>
                <w:color w:val="auto"/>
                <w:sz w:val="18"/>
              </w:rPr>
              <w:t>, в том числе с участием номинального держателя (как с переходом прав собственности, так и не связанных с переходом прав собственности на инвестиционные паи)</w:t>
            </w:r>
          </w:p>
        </w:tc>
        <w:tc>
          <w:tcPr>
            <w:tcW w:w="2241" w:type="dxa"/>
            <w:hideMark/>
          </w:tcPr>
          <w:p w:rsidR="004A4CDF" w:rsidRDefault="004A4CDF" w:rsidP="00E4499A">
            <w:pPr>
              <w:pStyle w:val="a3"/>
              <w:spacing w:before="60"/>
              <w:jc w:val="center"/>
              <w:rPr>
                <w:rFonts w:ascii="MetaNormalCyrLF-Roman" w:hAnsi="MetaNormalCyrLF-Roman" w:cs="Arial"/>
                <w:color w:val="auto"/>
                <w:sz w:val="18"/>
              </w:rPr>
            </w:pPr>
          </w:p>
          <w:p w:rsidR="00CF62E4" w:rsidRPr="008A35EC" w:rsidRDefault="003119E1" w:rsidP="00E4499A">
            <w:pPr>
              <w:pStyle w:val="a3"/>
              <w:spacing w:before="60"/>
              <w:jc w:val="center"/>
              <w:rPr>
                <w:rFonts w:ascii="MetaNormalCyrLF-Roman" w:hAnsi="MetaNormalCyrLF-Roman" w:cs="Arial"/>
                <w:color w:val="auto"/>
                <w:sz w:val="18"/>
              </w:rPr>
            </w:pPr>
            <w:r>
              <w:rPr>
                <w:rFonts w:ascii="MetaNormalCyrLF-Roman" w:hAnsi="MetaNormalCyrLF-Roman" w:cs="Arial"/>
                <w:color w:val="auto"/>
                <w:sz w:val="18"/>
              </w:rPr>
              <w:t>3</w:t>
            </w:r>
            <w:r w:rsidR="00A72632">
              <w:rPr>
                <w:rFonts w:ascii="MetaNormalCyrLF-Roman" w:hAnsi="MetaNormalCyrLF-Roman" w:cs="Arial"/>
                <w:color w:val="auto"/>
                <w:sz w:val="18"/>
              </w:rPr>
              <w:t xml:space="preserve"> </w:t>
            </w:r>
            <w:r>
              <w:rPr>
                <w:rFonts w:ascii="MetaNormalCyrLF-Roman" w:hAnsi="MetaNormalCyrLF-Roman" w:cs="Arial"/>
                <w:color w:val="auto"/>
                <w:sz w:val="18"/>
              </w:rPr>
              <w:t>0</w:t>
            </w:r>
            <w:r w:rsidRPr="008A35EC">
              <w:rPr>
                <w:rFonts w:ascii="MetaNormalCyrLF-Roman" w:hAnsi="MetaNormalCyrLF-Roman" w:cs="Arial"/>
                <w:color w:val="auto"/>
                <w:sz w:val="18"/>
              </w:rPr>
              <w:t>00</w:t>
            </w:r>
            <w:r w:rsidR="00CF62E4" w:rsidRPr="008A35EC">
              <w:rPr>
                <w:rFonts w:ascii="MetaNormalCyrLF-Roman" w:hAnsi="MetaNormalCyrLF-Roman" w:cs="Arial"/>
                <w:color w:val="auto"/>
                <w:sz w:val="18"/>
              </w:rPr>
              <w:t>.00</w:t>
            </w:r>
          </w:p>
        </w:tc>
      </w:tr>
      <w:tr w:rsidR="00D66FA7" w:rsidRPr="008A35EC" w:rsidTr="00E4499A">
        <w:tc>
          <w:tcPr>
            <w:tcW w:w="534" w:type="dxa"/>
          </w:tcPr>
          <w:p w:rsidR="00D66FA7" w:rsidRPr="008A35EC" w:rsidRDefault="00D66FA7" w:rsidP="00CF62E4">
            <w:pPr>
              <w:pStyle w:val="a3"/>
              <w:numPr>
                <w:ilvl w:val="0"/>
                <w:numId w:val="1"/>
              </w:numPr>
              <w:tabs>
                <w:tab w:val="center" w:pos="159"/>
              </w:tabs>
              <w:spacing w:before="60" w:after="60"/>
              <w:ind w:left="0" w:firstLine="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6898" w:type="dxa"/>
          </w:tcPr>
          <w:p w:rsidR="00D66FA7" w:rsidRPr="008A35EC" w:rsidRDefault="00D66FA7" w:rsidP="004A4CDF">
            <w:pPr>
              <w:pStyle w:val="a3"/>
              <w:spacing w:before="60" w:after="60"/>
              <w:rPr>
                <w:rFonts w:ascii="MetaNormalCyrLF-Roman" w:hAnsi="MetaNormalCyrLF-Roman" w:cs="Arial"/>
                <w:color w:val="auto"/>
                <w:sz w:val="18"/>
              </w:rPr>
            </w:pPr>
            <w:r>
              <w:rPr>
                <w:rFonts w:ascii="MetaNormalCyrLF-Roman" w:hAnsi="MetaNormalCyrLF-Roman" w:cs="Arial"/>
                <w:color w:val="auto"/>
                <w:sz w:val="18"/>
              </w:rPr>
              <w:t>Предоставление не стандартной выписки по счету зарегистрированного лица в соответствии с п. 6.2.1 и п. 6.2.2 Положения</w:t>
            </w:r>
            <w:r w:rsidRPr="00D66FA7">
              <w:rPr>
                <w:rFonts w:ascii="MetaNormalCyrLF-Roman" w:hAnsi="MetaNormalCyrLF-Roman" w:cs="Arial"/>
                <w:color w:val="auto"/>
                <w:sz w:val="18"/>
              </w:rPr>
              <w:t xml:space="preserve"> Банка России от 29.06.2022 N 799-П "Об открытии и ведении держателем реестра владельцев ценных бумаг лицевых счетов и счетов, не предназначенных для учета прав на ценные бумаги" </w:t>
            </w:r>
          </w:p>
        </w:tc>
        <w:tc>
          <w:tcPr>
            <w:tcW w:w="2241" w:type="dxa"/>
          </w:tcPr>
          <w:p w:rsidR="004A4CDF" w:rsidRDefault="004A4CDF" w:rsidP="00E4499A">
            <w:pPr>
              <w:pStyle w:val="a3"/>
              <w:spacing w:before="60"/>
              <w:jc w:val="center"/>
              <w:rPr>
                <w:rFonts w:ascii="MetaNormalCyrLF-Roman" w:hAnsi="MetaNormalCyrLF-Roman" w:cs="Arial"/>
                <w:color w:val="auto"/>
                <w:sz w:val="18"/>
              </w:rPr>
            </w:pPr>
          </w:p>
          <w:p w:rsidR="00D66FA7" w:rsidRPr="008A35EC" w:rsidRDefault="00D66FA7" w:rsidP="00E4499A">
            <w:pPr>
              <w:pStyle w:val="a3"/>
              <w:spacing w:before="60"/>
              <w:jc w:val="center"/>
              <w:rPr>
                <w:rFonts w:ascii="MetaNormalCyrLF-Roman" w:hAnsi="MetaNormalCyrLF-Roman" w:cs="Arial"/>
                <w:color w:val="auto"/>
                <w:sz w:val="18"/>
              </w:rPr>
            </w:pPr>
            <w:r>
              <w:rPr>
                <w:rFonts w:ascii="MetaNormalCyrLF-Roman" w:hAnsi="MetaNormalCyrLF-Roman" w:cs="Arial"/>
                <w:color w:val="auto"/>
                <w:sz w:val="18"/>
              </w:rPr>
              <w:t>5 000.00</w:t>
            </w:r>
          </w:p>
        </w:tc>
      </w:tr>
    </w:tbl>
    <w:p w:rsidR="00CF62E4" w:rsidRDefault="00CF62E4"/>
    <w:p w:rsidR="00CF62E4" w:rsidRDefault="00CF62E4"/>
    <w:p w:rsidR="00CF62E4" w:rsidRDefault="00CF62E4"/>
    <w:p w:rsidR="00CF62E4" w:rsidRDefault="00CF62E4"/>
    <w:p w:rsidR="00CF62E4" w:rsidRDefault="00CF62E4"/>
    <w:p w:rsidR="00025417" w:rsidRDefault="00025417"/>
    <w:sectPr w:rsidR="00025417" w:rsidSect="00104C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69E" w:rsidRDefault="003F269E" w:rsidP="00CF62E4">
      <w:r>
        <w:separator/>
      </w:r>
    </w:p>
  </w:endnote>
  <w:endnote w:type="continuationSeparator" w:id="0">
    <w:p w:rsidR="003F269E" w:rsidRDefault="003F269E" w:rsidP="00CF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taNormalCyrLF-Roman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69E" w:rsidRDefault="003F269E" w:rsidP="00CF62E4">
      <w:r>
        <w:separator/>
      </w:r>
    </w:p>
  </w:footnote>
  <w:footnote w:type="continuationSeparator" w:id="0">
    <w:p w:rsidR="003F269E" w:rsidRDefault="003F269E" w:rsidP="00CF6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54FC1"/>
    <w:multiLevelType w:val="hybridMultilevel"/>
    <w:tmpl w:val="3000D070"/>
    <w:lvl w:ilvl="0" w:tplc="ECE809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69B1713F"/>
    <w:multiLevelType w:val="hybridMultilevel"/>
    <w:tmpl w:val="892A8912"/>
    <w:lvl w:ilvl="0" w:tplc="067291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E4"/>
    <w:rsid w:val="00025417"/>
    <w:rsid w:val="00065EA2"/>
    <w:rsid w:val="000853F3"/>
    <w:rsid w:val="000C4B83"/>
    <w:rsid w:val="000D6BC7"/>
    <w:rsid w:val="00104CBD"/>
    <w:rsid w:val="00125A51"/>
    <w:rsid w:val="00127C11"/>
    <w:rsid w:val="001975A6"/>
    <w:rsid w:val="00210FA5"/>
    <w:rsid w:val="002437DF"/>
    <w:rsid w:val="00275DC7"/>
    <w:rsid w:val="003119E1"/>
    <w:rsid w:val="003F269E"/>
    <w:rsid w:val="004A4CDF"/>
    <w:rsid w:val="004B5C9F"/>
    <w:rsid w:val="00662EE2"/>
    <w:rsid w:val="006C72F8"/>
    <w:rsid w:val="00817416"/>
    <w:rsid w:val="00902E43"/>
    <w:rsid w:val="00A72632"/>
    <w:rsid w:val="00B21C1D"/>
    <w:rsid w:val="00CF62E4"/>
    <w:rsid w:val="00D66FA7"/>
    <w:rsid w:val="00D72C02"/>
    <w:rsid w:val="00E314D6"/>
    <w:rsid w:val="00E3236A"/>
    <w:rsid w:val="00E45C8A"/>
    <w:rsid w:val="00EC059D"/>
    <w:rsid w:val="00EE77D7"/>
    <w:rsid w:val="00F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5AF2F-2B5B-4A26-8A09-FD507391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E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F62E4"/>
    <w:rPr>
      <w:rFonts w:ascii="Times New Roman" w:hAnsi="Times New Roman"/>
      <w:color w:val="0000FF"/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CF62E4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table" w:styleId="a5">
    <w:name w:val="Table Grid"/>
    <w:basedOn w:val="a1"/>
    <w:uiPriority w:val="59"/>
    <w:rsid w:val="00CF6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CF62E4"/>
    <w:pPr>
      <w:jc w:val="left"/>
    </w:pPr>
    <w:rPr>
      <w:rFonts w:ascii="Times New Roman" w:hAnsi="Times New Roman"/>
    </w:rPr>
  </w:style>
  <w:style w:type="character" w:customStyle="1" w:styleId="a7">
    <w:name w:val="Текст сноски Знак"/>
    <w:basedOn w:val="a0"/>
    <w:link w:val="a6"/>
    <w:uiPriority w:val="99"/>
    <w:rsid w:val="00CF62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CF62E4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rsid w:val="00104CBD"/>
    <w:pPr>
      <w:widowControl w:val="0"/>
      <w:tabs>
        <w:tab w:val="center" w:pos="4153"/>
        <w:tab w:val="right" w:pos="8306"/>
      </w:tabs>
      <w:ind w:firstLine="720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104C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Typewriter"/>
    <w:basedOn w:val="a0"/>
    <w:uiPriority w:val="99"/>
    <w:rsid w:val="003119E1"/>
    <w:rPr>
      <w:rFonts w:ascii="Courier New" w:hAnsi="Courier Ne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Валерий Александрович</dc:creator>
  <cp:lastModifiedBy>Захаркина Людмила Александровна</cp:lastModifiedBy>
  <cp:revision>4</cp:revision>
  <cp:lastPrinted>2018-08-29T13:03:00Z</cp:lastPrinted>
  <dcterms:created xsi:type="dcterms:W3CDTF">2025-03-19T13:12:00Z</dcterms:created>
  <dcterms:modified xsi:type="dcterms:W3CDTF">2025-03-27T10:33:00Z</dcterms:modified>
</cp:coreProperties>
</file>